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E7" w:rsidRDefault="006E69E7" w:rsidP="006E69E7">
      <w:pPr>
        <w:rPr>
          <w:rFonts w:eastAsia="Garamond" w:cs="Garamond"/>
          <w:sz w:val="24"/>
          <w:szCs w:val="24"/>
        </w:rPr>
      </w:pPr>
    </w:p>
    <w:p w:rsidR="00224E59" w:rsidRPr="006E69E7" w:rsidRDefault="00224E59" w:rsidP="00224E59">
      <w:pPr>
        <w:jc w:val="both"/>
        <w:rPr>
          <w:rFonts w:eastAsia="Garamond" w:cs="Garamond"/>
          <w:sz w:val="24"/>
          <w:szCs w:val="24"/>
        </w:rPr>
      </w:pPr>
    </w:p>
    <w:p w:rsidR="006E69E7" w:rsidRPr="006E69E7" w:rsidRDefault="006E69E7" w:rsidP="006E69E7">
      <w:pPr>
        <w:rPr>
          <w:rFonts w:eastAsia="Garamond" w:cs="Garamond"/>
          <w:sz w:val="24"/>
          <w:szCs w:val="24"/>
        </w:rPr>
      </w:pPr>
    </w:p>
    <w:p w:rsidR="006E69E7" w:rsidRPr="006E69E7" w:rsidRDefault="006E69E7" w:rsidP="006E69E7">
      <w:pPr>
        <w:rPr>
          <w:rFonts w:eastAsia="Garamond" w:cs="Garamond"/>
          <w:sz w:val="24"/>
          <w:szCs w:val="24"/>
        </w:rPr>
      </w:pPr>
    </w:p>
    <w:p w:rsidR="00224E59" w:rsidRDefault="00CE0CF8" w:rsidP="00224E59">
      <w:pPr>
        <w:rPr>
          <w:rFonts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  <w:t xml:space="preserve">CCNL 2019/21 </w:t>
      </w:r>
      <w:r w:rsidR="00224E59" w:rsidRPr="00224E59">
        <w:rPr>
          <w:rFonts w:eastAsia="Garamond" w:cs="Garamond"/>
          <w:sz w:val="24"/>
          <w:szCs w:val="24"/>
        </w:rPr>
        <w:t>Art. 25</w:t>
      </w:r>
    </w:p>
    <w:p w:rsidR="00E11322" w:rsidRPr="00224E59" w:rsidRDefault="00E11322" w:rsidP="00224E59">
      <w:pPr>
        <w:rPr>
          <w:rFonts w:eastAsia="Garamond" w:cs="Garamond"/>
          <w:sz w:val="24"/>
          <w:szCs w:val="24"/>
        </w:rPr>
      </w:pPr>
      <w:bookmarkStart w:id="0" w:name="_GoBack"/>
      <w:bookmarkEnd w:id="0"/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Codice disciplinare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1. Nel rispetto del principio di gradualità e proporzionalità delle sanzioni in relazione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alla gravità della mancanza, il tipo e l'entità di ciascuna delle sanzioni sono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determinati in relazione ai seguenti criteri generali: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a) intenzionalità del comportamento, grado di negligenza, imprudenza o imperizia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dimostrate, tenuto conto anche della prevedibilità dell'evento;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b) rilevanza degli obblighi violati;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c) responsabilità connesse alla posizione di lavoro occupata dal dipendente;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d) grado di danno o di pericolo causato all'amministrazione, agli utenti o a terzi</w:t>
      </w:r>
      <w:r w:rsidR="00CE0CF8">
        <w:rPr>
          <w:rFonts w:eastAsia="Garamond" w:cs="Garamond"/>
          <w:sz w:val="24"/>
          <w:szCs w:val="24"/>
        </w:rPr>
        <w:t xml:space="preserve"> o</w:t>
      </w:r>
      <w:r w:rsidRPr="00224E59">
        <w:rPr>
          <w:rFonts w:eastAsia="Garamond" w:cs="Garamond"/>
          <w:sz w:val="24"/>
          <w:szCs w:val="24"/>
        </w:rPr>
        <w:t>vvero al disservizio determinatosi;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e) sussistenza di circostanze aggravanti o attenuanti, con particolare riguardo al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comportamento del lavoratore, ai precedenti disciplinari nell'ambito del biennio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previsto dalla legge, al comportamento verso gli utenti;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f) concorso nella violazione di più lavoratori in accordo tra di loro;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g) nel caso di personale delle istituzioni scolastiche educative ed AFAM,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coinvolgimento di minori, qualora affidati alla vigilanza del dipendente.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2. Al dipendente responsabile di più mancanze compiute con unica azione od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omissione o con più azioni od omissioni tra loro collegate ed accertate con un unico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procedimento, è applicabile la sanzione prevista per la mancanza più grave se le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suddette infrazioni sono punite con sanzioni di diversa gravità.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 xml:space="preserve">3. La sanzione disciplinare dal minimo del rimprovero verbale o scritto al </w:t>
      </w:r>
      <w:r w:rsidR="00CE0CF8">
        <w:rPr>
          <w:rFonts w:eastAsia="Garamond" w:cs="Garamond"/>
          <w:sz w:val="24"/>
          <w:szCs w:val="24"/>
        </w:rPr>
        <w:t xml:space="preserve">Massimo </w:t>
      </w:r>
      <w:r w:rsidRPr="00224E59">
        <w:rPr>
          <w:rFonts w:eastAsia="Garamond" w:cs="Garamond"/>
          <w:sz w:val="24"/>
          <w:szCs w:val="24"/>
        </w:rPr>
        <w:t>della multa di importo pari a quattro ore di retribuzione si applica, graduando l'entità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delle sanzioni in relazione ai criteri di cui al comma 1, per: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a) inosservanza delle disposizioni di servizio o delle deliberazioni degli organi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collegiali, ivi incluse quelle relative al lavoro agile, anche in tema di assenze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per malattia, nonché dell'orario di lavoro, ove non ricorrano le fattispecie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considerate nell’art. 55-quater, comma 1, lett. a) del d.lgs. n. 165 del 2001;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b) condotta non conforme a principi di correttezza verso superiori o altri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dipendenti o nei confronti degli utenti o terzi;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c) per il personale ATA delle istituzioni scolastiche ed educative e per quello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amministrativo e tecnico dell’AFAM, condotte negligenti e non conformi alle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responsabilità, ai doveri e alla correttezza inerenti alla funzione;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d) negligenza nell'esecuzione dei compiti assegnati, nella cura dei locali e dei beni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mobili o degli strumenti a lui affidati o sui quali, in relazione alle sue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responsabilità, debba espletare attività di custodia o vigilanza;</w:t>
      </w:r>
    </w:p>
    <w:p w:rsidR="00224E59" w:rsidRPr="00224E59" w:rsidRDefault="00224E59" w:rsidP="00CE0CF8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e) inosservanza degli obblighi in materia di prevenzione degli infortuni e di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sicurezza sul lavoro ove non ne sia derivato danno o pregiudizio al servizio o</w:t>
      </w:r>
      <w:r w:rsidR="00CE0CF8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 xml:space="preserve">agli interessi </w:t>
      </w:r>
      <w:r w:rsidRPr="00224E59">
        <w:rPr>
          <w:rFonts w:eastAsia="Garamond" w:cs="Garamond"/>
          <w:sz w:val="24"/>
          <w:szCs w:val="24"/>
        </w:rPr>
        <w:lastRenderedPageBreak/>
        <w:t>dell’amministrazione o di terzi;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f) rifiuto di assoggettarsi a visite personali disposte a tutela del patrimonio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dell'amministrazione, nel rispetto di quanto previsto dall' art. 6 della legge. n.300 del 1970;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g) insufficiente rendimento nell'assolvimento dei compiti assegnati, ove non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ricorrano le fattispecie considerate nell’art. 55-quater del d.lgs. n. 165 del 2001;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h) violazione dell’obbligo previsto dall’art. 55-novies, del d.lgs. n. 165 del 2001;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i) violazione di doveri ed obblighi di comportamento non ricompresi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specificatamente nelle lettere precedenti.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L'importo delle ritenute per multa sarà introitato dal bilancio dell'amministrazione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e destinato ad attività sociali a favore dei dipendenti.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4. La sanzione disciplinare della sospensione dal servizio con privazione dellaretribuzione fino a un massimo di 10 giorni si applica, graduando l'entità della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sanzione in relazione ai criteri di cui al comma 1, per: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a) recidiva nelle mancanze previste al comma 3;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b) particolare gravità delle mancanze previste al comma 3;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c) ove non ricorra la fattispecie prevista dall’articolo 55-quater, comma 1, lett. b)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del d.lgs. n. 165 del 2001, assenza ingiustificata dal servizio – anche svolto inmodalità a distanza - o arbitrario abbandono dello stesso; in tali ipotesi, l'entità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della sanzione è determinata in relazione alla durata dell'assenza o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dell'abbandono del servizio, al disservizio determinatosi, alla gravità della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violazione dei doveri del dipendente, agli eventuali danni causati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all'amministrazione, agli utenti o ai terzi;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d) ingiustificato mancato trasferimento sin dal primo giorno, da parte del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personale ATA delle istituzioni scolastiche ed educative e del personale tecnico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e amministrativo dell’AFAM, con esclusione dei supplenti brevi cui si applica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la specifica disciplina regolamentare, nella sede assegnata a seguito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dell’espletamento di una procedura di mobilità territoriale o professionale;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e) svolgimento di attività che, durante lo stato di malattia o di infortunio, ritardino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il recupero psico-fisico;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f) manifestazioni ingiuriose nei confronti dell'amministrazione, salvo che siano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espressione della libertà di pensiero, ai sensi dell'art. 1 della legge n. 300 del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1970;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g) ove non sussista la gravità e la reiterazione delle fattispecie considerate nell’art.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55-quater, comma 1, lett. e) del d.lgs. n. 165 del 2001, atti o comportamenti</w:t>
      </w:r>
      <w:r w:rsidR="00A80C72">
        <w:rPr>
          <w:rFonts w:eastAsia="Garamond" w:cs="Garamond"/>
          <w:sz w:val="24"/>
          <w:szCs w:val="24"/>
        </w:rPr>
        <w:t xml:space="preserve"> ag</w:t>
      </w:r>
      <w:r w:rsidRPr="00224E59">
        <w:rPr>
          <w:rFonts w:eastAsia="Garamond" w:cs="Garamond"/>
          <w:sz w:val="24"/>
          <w:szCs w:val="24"/>
        </w:rPr>
        <w:t>gressivi, ostili e denigratori che assumano forme di violenza morale nei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confronti di un altro dipendente, comportamenti minacciosi, ingiuriosi,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calunniosi o diffamatori nei confronti di altri dipendenti o degli utenti o di terzi;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h) violazione degli obblighi di vigilanza da parte del personale delle istituzioni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 xml:space="preserve">scolastiche educative e dell’AFAM nei confronti degli allievi e degli </w:t>
      </w:r>
      <w:r w:rsidR="00A80C72">
        <w:rPr>
          <w:rFonts w:eastAsia="Garamond" w:cs="Garamond"/>
          <w:sz w:val="24"/>
          <w:szCs w:val="24"/>
        </w:rPr>
        <w:t xml:space="preserve">student </w:t>
      </w:r>
      <w:r w:rsidRPr="00224E59">
        <w:rPr>
          <w:rFonts w:eastAsia="Garamond" w:cs="Garamond"/>
          <w:sz w:val="24"/>
          <w:szCs w:val="24"/>
        </w:rPr>
        <w:t>allo stesso affidati;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i) violazione del segreto di ufficio inerente ad atti o attività non soggetti a</w:t>
      </w:r>
      <w:r w:rsidR="00A80C72">
        <w:rPr>
          <w:rFonts w:eastAsia="Garamond" w:cs="Garamond"/>
          <w:sz w:val="24"/>
          <w:szCs w:val="24"/>
        </w:rPr>
        <w:t xml:space="preserve"> p</w:t>
      </w:r>
      <w:r>
        <w:rPr>
          <w:rFonts w:eastAsia="Garamond" w:cs="Garamond"/>
          <w:sz w:val="24"/>
          <w:szCs w:val="24"/>
        </w:rPr>
        <w:t>ubblicità;</w:t>
      </w:r>
    </w:p>
    <w:p w:rsidR="00224E59" w:rsidRPr="00224E59" w:rsidRDefault="00224E59" w:rsidP="00A80C72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j) violazione di doveri ed obblighi di comportamento anche non ricompresi</w:t>
      </w:r>
      <w:r w:rsidR="00A80C72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specificatamente nelle lettere precedenti da cui sia derivato disservizio ovvero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danno all’amministrazione, agli utenti o a terzi.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lastRenderedPageBreak/>
        <w:t>5. La sospensione dal servizio con privazione della retribuzione fino ad un massimo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di quindici giorni si applica nel caso previsto dall’art. 55-bis, comma 7, del d.lgs. n.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165 del 2001.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6. La sospensione dal servizio con privazione della retribuzione fino ad un massimo</w:t>
      </w:r>
    </w:p>
    <w:p w:rsidR="00224E59" w:rsidRPr="00224E59" w:rsidRDefault="00224E59" w:rsidP="003707E1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di tre mesi, si applica nei casi previsti dall’art. 55-sexies, comma 3, del d.lgs. n. 165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del 2001.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7. La sospensione dal servizio con privazione della retribuzione da un minimo di tre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giorni fino ad un massimo di tre mesi si applica nel caso previsto dall’art. 55-sexies,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comma 1, del d.lgs. n. 165 del 2001.</w:t>
      </w:r>
    </w:p>
    <w:p w:rsidR="00224E59" w:rsidRPr="00224E59" w:rsidRDefault="00224E59" w:rsidP="003707E1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8. La sanzione disciplinare della sospensione dal servizio con privazione della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retribuzione da 11 giorni fino ad un massimo di 6 mesi, si applica, graduando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l’entità della sanzione in relazione ai criteri di cui al comma 1, per: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a) recidiva nel biennio delle mancanze previste nel comma 4;</w:t>
      </w:r>
    </w:p>
    <w:p w:rsidR="00224E59" w:rsidRPr="00224E59" w:rsidRDefault="00224E59" w:rsidP="003707E1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b) occultamento, da parte del responsabile della custodia, del co</w:t>
      </w:r>
      <w:r w:rsidR="003707E1">
        <w:rPr>
          <w:rFonts w:eastAsia="Garamond" w:cs="Garamond"/>
          <w:sz w:val="24"/>
          <w:szCs w:val="24"/>
        </w:rPr>
        <w:t>n</w:t>
      </w:r>
      <w:r w:rsidRPr="00224E59">
        <w:rPr>
          <w:rFonts w:eastAsia="Garamond" w:cs="Garamond"/>
          <w:sz w:val="24"/>
          <w:szCs w:val="24"/>
        </w:rPr>
        <w:t>trollo o della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vigilanza, di fatti e circostanze relativi ad illecito uso, manomissione,</w:t>
      </w:r>
      <w:r w:rsidR="003707E1">
        <w:rPr>
          <w:rFonts w:eastAsia="Garamond" w:cs="Garamond"/>
          <w:sz w:val="24"/>
          <w:szCs w:val="24"/>
        </w:rPr>
        <w:t xml:space="preserve">  </w:t>
      </w:r>
      <w:r w:rsidRPr="00224E59">
        <w:rPr>
          <w:rFonts w:eastAsia="Garamond" w:cs="Garamond"/>
          <w:sz w:val="24"/>
          <w:szCs w:val="24"/>
        </w:rPr>
        <w:t>distrazione o sottrazione di somme o beni di pertinenza dell’ente o ad esso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affidati;</w:t>
      </w:r>
    </w:p>
    <w:p w:rsidR="00224E59" w:rsidRPr="00224E59" w:rsidRDefault="00224E59" w:rsidP="003707E1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c) atti, comportamenti lesivi della dignità della persona o molestie a carattere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sessuale, anche ove non sussista la gravità e la reiterazione oppure che non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riguardino allievi e studenti;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d) alterchi con vie di fatto negli ambienti di lavoro, anche con gli utenti;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e) fino a due assenze ingiustificate dal servizio in continuità con le giornate festive</w:t>
      </w:r>
    </w:p>
    <w:p w:rsidR="00224E59" w:rsidRPr="00224E59" w:rsidRDefault="00224E59" w:rsidP="003707E1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e di riposo settimanale;</w:t>
      </w:r>
    </w:p>
    <w:p w:rsidR="00224E59" w:rsidRPr="00224E59" w:rsidRDefault="00224E59" w:rsidP="003707E1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f) ingiustificate assenze collettive nei periodi, individuati dall’amministrazione,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in cui è necessario assicurare la continuità nell’erogazione di servizi all’utenza;</w:t>
      </w:r>
    </w:p>
    <w:p w:rsidR="00224E59" w:rsidRPr="00224E59" w:rsidRDefault="00224E59" w:rsidP="003707E1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 xml:space="preserve">g) violazione degli obblighi di vigilanza nei confronti di allievi e </w:t>
      </w:r>
      <w:r w:rsidR="003707E1">
        <w:rPr>
          <w:rFonts w:eastAsia="Garamond" w:cs="Garamond"/>
          <w:sz w:val="24"/>
          <w:szCs w:val="24"/>
        </w:rPr>
        <w:t xml:space="preserve">student </w:t>
      </w:r>
      <w:r w:rsidRPr="00224E59">
        <w:rPr>
          <w:rFonts w:eastAsia="Garamond" w:cs="Garamond"/>
          <w:sz w:val="24"/>
          <w:szCs w:val="24"/>
        </w:rPr>
        <w:t>minorenni determinata dall’assenza dal servizio o dall’arbitrario abbandono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dello stesso;</w:t>
      </w:r>
    </w:p>
    <w:p w:rsidR="00224E59" w:rsidRPr="00224E59" w:rsidRDefault="00224E59" w:rsidP="003707E1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h) per il personale ATA delle istituzioni scolastiche ed educative e del personale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tecnico e amministrativo dell’AFAM, compimento di atti in violazione dei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propri doveri che pregiudichino il regolare funzionamento dell’istituzione e per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concorso negli stessi atti.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9. Ferma la disciplina in tema di licenziamento per giusta causa o giustificato motivo,</w:t>
      </w:r>
      <w:r w:rsidR="003707E1"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la sanzione disciplinare del licenziamento si applica: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I. con preavviso per: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a) le ipotesi considerate dall’art. 55-quater, comma 1, lett. b) c) e da f)-bis a f)</w:t>
      </w:r>
    </w:p>
    <w:p w:rsidR="00224E59" w:rsidRPr="00224E59" w:rsidRDefault="00224E59" w:rsidP="00224E59">
      <w:pPr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quinqu</w:t>
      </w:r>
      <w:r>
        <w:rPr>
          <w:rFonts w:eastAsia="Garamond" w:cs="Garamond"/>
          <w:sz w:val="24"/>
          <w:szCs w:val="24"/>
        </w:rPr>
        <w:t>ies del d.lgs. n. 165 del 2001;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b) recidiva nelle violazioni indicate nei commi 5, 6, 7e 8;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c) recidiva nel biennio di atti, anche nei riguardi di persona diversa,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comportamenti o molestie a carattere sessuale oppure quando l’atto, il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comportamento o la molestia rivestano carattere di particolare gravità o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anche quando sono compiuti nei confronti di allievi, studenti e studentesse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affidati alla vigilanza del personale delle istituzioni scolastiche ed educative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e dell’AFAM;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d) dichiarazioni false e mendaci, rese dal personale delle istituzioni scolastiche,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educative e AFAM, al fine di ottenere un vantaggio nell’ambito delle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 xml:space="preserve">procedure di </w:t>
      </w:r>
      <w:r w:rsidRPr="00224E59">
        <w:rPr>
          <w:rFonts w:eastAsia="Garamond" w:cs="Garamond"/>
          <w:sz w:val="24"/>
          <w:szCs w:val="24"/>
        </w:rPr>
        <w:lastRenderedPageBreak/>
        <w:t>mobilità;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e) condanna passata in giudicato, per un delitto che, commesso fuori del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servizio e non attinente in via diretta al rapporto di lavoro, non ne consenta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la prosecuzione per la sua specifica gravità;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f) violazione degli obblighi di comportamento di cui all’art 16, comma 2,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secondo e terzo periodo del D.P.R. n. 62 del 2013;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g) violazioni dei doveri e degli obblighi di comportamento non ricompresi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specificatamente nelle lettere precedenti di gravità tale, secondo i criteri di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cui al comma 1, da non consentire la prosecuzione del rapporto di lavoro;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h) mancata ripresa del servizio, salvo casi di comprovato impedimento, dopo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periodi di interruzione dell’attività previsti dalle disposizioni legislative e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contrattuali vigenti, alla conclusione del periodo di sospensione o alla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scadenza del termine fissato dall’amministrazione.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II. senza preavviso per: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a) le ipotesi considerate nell’art. 55-quater, comma 1, lett. a), d), e) ed f) del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d.lgs. n. 165 del 2001;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b) commissione di gravi fatti illeciti di rilevanza penale, ivi compresi quelli che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possono dare luogo alla sospensione cautelare, secondo la disciplina dell’art.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26 (Sospensione cautelare in corso di procedimento disciplinare), fatto salvo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quanto previsto dall’art. 27 (Sospensione cautelare in caso di procedimento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penale);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c) condanna passata in giudicato per un delitto commesso in servizio o fuori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servizio che, pur non attenendo in via diretta al rapporto di lavoro, non ne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consenta neanche provvisoriamente la prosecuzione per la sua specifica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gravità;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d) commissione in genere - anche nei confronti di terzi - di fatti o atti dolosi,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che, pur non costituendo illeciti di rilevanza penale, sono di gravità tale da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non consentire la prosecuzione neppure provvisoria del rapporto di lavoro;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e) condanna, anche non passata in giudicato: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 xml:space="preserve">- per i delitti già indicati nell’art. 7, comma 1, e nell’art. 8, comma 1, lett. </w:t>
      </w:r>
      <w:r w:rsidRPr="00224E59">
        <w:rPr>
          <w:rFonts w:eastAsia="Garamond" w:cs="Garamond"/>
          <w:sz w:val="24"/>
          <w:szCs w:val="24"/>
        </w:rPr>
        <w:t>A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del d.lgs. n. 235 del 2012;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- quando alla condanna consegua comunque l’interdizione perpetua dai</w:t>
      </w:r>
      <w:r>
        <w:rPr>
          <w:rFonts w:eastAsia="Garamond" w:cs="Garamond"/>
          <w:sz w:val="24"/>
          <w:szCs w:val="24"/>
        </w:rPr>
        <w:t xml:space="preserve"> pubblici uffici;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- per i delitti previsti dall’art. 3, comma 1 della legge 27 marzo 2001 n. 97;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- per gravi delitti commessi in servizio;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f) violazioni intenzionali degli obblighi, non ricomprese specificatamente nelle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lettere precedenti, anche nei confronti di terzi, di gravità tale, in relazione ai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criteri di cui al comma 1, da non consentire la prosecuzione neppure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provvisoria del rapporto di lavoro.</w:t>
      </w:r>
    </w:p>
    <w:p w:rsidR="00224E59" w:rsidRPr="00224E59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10. Le mancanze anche se non espressamente previste nei commi precedenti sono</w:t>
      </w:r>
    </w:p>
    <w:p w:rsidR="006E69E7" w:rsidRPr="006E69E7" w:rsidRDefault="00224E59" w:rsidP="00224E59">
      <w:pPr>
        <w:jc w:val="both"/>
        <w:rPr>
          <w:rFonts w:eastAsia="Garamond" w:cs="Garamond"/>
          <w:sz w:val="24"/>
          <w:szCs w:val="24"/>
        </w:rPr>
      </w:pPr>
      <w:r w:rsidRPr="00224E59">
        <w:rPr>
          <w:rFonts w:eastAsia="Garamond" w:cs="Garamond"/>
          <w:sz w:val="24"/>
          <w:szCs w:val="24"/>
        </w:rPr>
        <w:t>comunque sanzionate secondo i criteri di cui al comma 1, facendosi riferimento,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quanto all'individuazione dei fatti sanzionabili, agli obblighi dei lavoratori di cui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all’art. 23 (Obblighi del dipendente) e riferendosi, quanto al tipo e alla misura delle</w:t>
      </w:r>
      <w:r>
        <w:rPr>
          <w:rFonts w:eastAsia="Garamond" w:cs="Garamond"/>
          <w:sz w:val="24"/>
          <w:szCs w:val="24"/>
        </w:rPr>
        <w:t xml:space="preserve"> </w:t>
      </w:r>
      <w:r w:rsidRPr="00224E59">
        <w:rPr>
          <w:rFonts w:eastAsia="Garamond" w:cs="Garamond"/>
          <w:sz w:val="24"/>
          <w:szCs w:val="24"/>
        </w:rPr>
        <w:t>sanzioni, ai principi desumibili dai commi precedenti</w:t>
      </w:r>
    </w:p>
    <w:p w:rsidR="00045EEC" w:rsidRPr="006E69E7" w:rsidRDefault="00045EEC">
      <w:pPr>
        <w:ind w:left="3600"/>
        <w:jc w:val="right"/>
        <w:rPr>
          <w:rFonts w:eastAsia="Garamond" w:cs="Garamond"/>
          <w:sz w:val="24"/>
          <w:szCs w:val="24"/>
        </w:rPr>
      </w:pPr>
    </w:p>
    <w:p w:rsidR="008215BE" w:rsidRPr="006E69E7" w:rsidRDefault="008215BE" w:rsidP="008215BE">
      <w:pPr>
        <w:widowControl/>
        <w:suppressAutoHyphens/>
        <w:jc w:val="right"/>
        <w:rPr>
          <w:rFonts w:eastAsia="SimSun" w:cs="Lucida Sans"/>
          <w:kern w:val="2"/>
          <w:sz w:val="24"/>
          <w:szCs w:val="24"/>
          <w:lang w:val="it-IT" w:eastAsia="zh-CN" w:bidi="hi-IN"/>
        </w:rPr>
      </w:pPr>
    </w:p>
    <w:p w:rsidR="008215BE" w:rsidRPr="00CD4C60" w:rsidRDefault="008215BE" w:rsidP="00CD4C60">
      <w:pPr>
        <w:widowControl/>
        <w:suppressAutoHyphens/>
        <w:jc w:val="right"/>
        <w:rPr>
          <w:rFonts w:eastAsia="SimSun" w:cs="Lucida Sans"/>
          <w:kern w:val="2"/>
          <w:sz w:val="24"/>
          <w:szCs w:val="24"/>
          <w:lang w:val="it-IT" w:eastAsia="zh-CN" w:bidi="hi-IN"/>
        </w:rPr>
      </w:pPr>
      <w:r w:rsidRPr="006E69E7">
        <w:rPr>
          <w:rFonts w:eastAsia="SimSun" w:cs="Calibri"/>
          <w:kern w:val="2"/>
          <w:sz w:val="24"/>
          <w:szCs w:val="24"/>
          <w:lang w:val="it-IT" w:eastAsia="zh-CN" w:bidi="hi-IN"/>
        </w:rPr>
        <w:lastRenderedPageBreak/>
        <w:tab/>
      </w:r>
      <w:r w:rsidRPr="006E69E7">
        <w:rPr>
          <w:rFonts w:eastAsia="SimSun" w:cs="Calibri"/>
          <w:kern w:val="2"/>
          <w:sz w:val="24"/>
          <w:szCs w:val="24"/>
          <w:lang w:val="it-IT" w:eastAsia="zh-CN" w:bidi="hi-IN"/>
        </w:rPr>
        <w:tab/>
      </w:r>
    </w:p>
    <w:sectPr w:rsidR="008215BE" w:rsidRPr="00CD4C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85" w:rsidRDefault="002D6985">
      <w:r>
        <w:separator/>
      </w:r>
    </w:p>
  </w:endnote>
  <w:endnote w:type="continuationSeparator" w:id="0">
    <w:p w:rsidR="002D6985" w:rsidRDefault="002D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EC" w:rsidRDefault="00045E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CC" w:rsidRDefault="00C241CC">
    <w:pPr>
      <w:pStyle w:val="Pidipagina"/>
      <w:jc w:val="center"/>
      <w:rPr>
        <w:caps/>
        <w:color w:val="4472C4" w:themeColor="accent1"/>
      </w:rPr>
    </w:pPr>
  </w:p>
  <w:p w:rsidR="00C241CC" w:rsidRPr="00C241CC" w:rsidRDefault="007744C7" w:rsidP="00C241C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 xml:space="preserve">Sede legale </w:t>
    </w:r>
    <w:r w:rsidR="00C241CC" w:rsidRPr="00C241CC">
      <w:rPr>
        <w:rFonts w:eastAsia="Calibri" w:cs="Calibri"/>
        <w:color w:val="000000"/>
        <w:sz w:val="20"/>
        <w:szCs w:val="20"/>
      </w:rPr>
      <w:t>Via Montevideo 9 – 20199 MILANO (MI)</w:t>
    </w:r>
  </w:p>
  <w:p w:rsidR="00C241CC" w:rsidRPr="00C241CC" w:rsidRDefault="00C241CC" w:rsidP="00C241C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Calibri" w:cs="Calibri"/>
        <w:color w:val="000000"/>
        <w:sz w:val="20"/>
        <w:szCs w:val="20"/>
      </w:rPr>
    </w:pPr>
    <w:r w:rsidRPr="00C241CC">
      <w:rPr>
        <w:rFonts w:eastAsia="Calibri" w:cs="Calibri"/>
        <w:color w:val="000000"/>
        <w:sz w:val="20"/>
        <w:szCs w:val="20"/>
      </w:rPr>
      <w:t>Tel.3342929895</w:t>
    </w:r>
    <w:r w:rsidR="007744C7">
      <w:rPr>
        <w:rFonts w:eastAsia="Calibri" w:cs="Calibri"/>
        <w:color w:val="000000"/>
        <w:sz w:val="20"/>
        <w:szCs w:val="20"/>
      </w:rPr>
      <w:t xml:space="preserve">- </w:t>
    </w:r>
    <w:r w:rsidRPr="00C241CC">
      <w:rPr>
        <w:rFonts w:eastAsia="Calibri" w:cs="Calibri"/>
        <w:color w:val="000000"/>
        <w:sz w:val="20"/>
        <w:szCs w:val="20"/>
      </w:rPr>
      <w:t>C.F. 97921860157</w:t>
    </w:r>
  </w:p>
  <w:p w:rsidR="00C241CC" w:rsidRPr="00C241CC" w:rsidRDefault="00C241CC" w:rsidP="00C241C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Calibri" w:cs="Calibri"/>
        <w:color w:val="000000"/>
        <w:sz w:val="20"/>
        <w:szCs w:val="20"/>
      </w:rPr>
    </w:pPr>
    <w:r w:rsidRPr="00C241CC">
      <w:rPr>
        <w:rFonts w:eastAsia="Calibri" w:cs="Calibri"/>
        <w:color w:val="000000"/>
        <w:sz w:val="20"/>
        <w:szCs w:val="20"/>
      </w:rPr>
      <w:t>Mail:info@udisi.org</w:t>
    </w:r>
    <w:r w:rsidR="00323684">
      <w:rPr>
        <w:rFonts w:eastAsia="Calibri" w:cs="Calibri"/>
        <w:color w:val="000000"/>
        <w:sz w:val="20"/>
        <w:szCs w:val="20"/>
      </w:rPr>
      <w:t>-</w:t>
    </w:r>
    <w:r w:rsidRPr="00C241CC">
      <w:rPr>
        <w:rFonts w:eastAsia="Calibri" w:cs="Calibri"/>
        <w:color w:val="000000"/>
        <w:sz w:val="20"/>
        <w:szCs w:val="20"/>
      </w:rPr>
      <w:t xml:space="preserve"> pec: udisi@pec.it</w:t>
    </w:r>
  </w:p>
  <w:p w:rsidR="00045EEC" w:rsidRPr="00C241CC" w:rsidRDefault="00C241CC" w:rsidP="00C241C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Calibri" w:cs="Calibri"/>
        <w:color w:val="000000"/>
        <w:sz w:val="20"/>
        <w:szCs w:val="20"/>
      </w:rPr>
    </w:pPr>
    <w:r w:rsidRPr="00C241CC">
      <w:rPr>
        <w:rFonts w:eastAsia="Calibri" w:cs="Calibri"/>
        <w:color w:val="000000"/>
        <w:sz w:val="20"/>
        <w:szCs w:val="20"/>
      </w:rPr>
      <w:t>sito www.udisi.org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EC" w:rsidRDefault="00045E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85" w:rsidRDefault="002D6985">
      <w:r>
        <w:separator/>
      </w:r>
    </w:p>
  </w:footnote>
  <w:footnote w:type="continuationSeparator" w:id="0">
    <w:p w:rsidR="002D6985" w:rsidRDefault="002D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EC" w:rsidRDefault="00045E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EC" w:rsidRDefault="00997DF3">
    <w:pPr>
      <w:jc w:val="center"/>
      <w:rPr>
        <w:rFonts w:ascii="Arial" w:eastAsia="Arial" w:hAnsi="Arial" w:cs="Arial"/>
      </w:rPr>
    </w:pPr>
    <w:r w:rsidRPr="00997DF3">
      <w:rPr>
        <w:rFonts w:ascii="Arial" w:eastAsia="Arial" w:hAnsi="Arial" w:cs="Arial"/>
        <w:noProof/>
        <w:lang w:val="it-IT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1567815</wp:posOffset>
              </wp:positionH>
              <wp:positionV relativeFrom="paragraph">
                <wp:posOffset>95885</wp:posOffset>
              </wp:positionV>
              <wp:extent cx="3346450" cy="819150"/>
              <wp:effectExtent l="0" t="0" r="25400" b="190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DF3" w:rsidRPr="00997DF3" w:rsidRDefault="00997DF3" w:rsidP="00997DF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97DF3">
                            <w:rPr>
                              <w:sz w:val="24"/>
                              <w:szCs w:val="24"/>
                            </w:rPr>
                            <w:t>U.Di.S.I.</w:t>
                          </w:r>
                        </w:p>
                        <w:p w:rsidR="00997DF3" w:rsidRPr="00997DF3" w:rsidRDefault="00997DF3" w:rsidP="00997DF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97DF3">
                            <w:rPr>
                              <w:sz w:val="24"/>
                              <w:szCs w:val="24"/>
                            </w:rPr>
                            <w:t>Unione Dirigenti Scolastici Italiani</w:t>
                          </w:r>
                        </w:p>
                        <w:p w:rsidR="00997DF3" w:rsidRPr="00997DF3" w:rsidRDefault="00997DF3" w:rsidP="00997DF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97DF3">
                            <w:rPr>
                              <w:sz w:val="24"/>
                              <w:szCs w:val="24"/>
                            </w:rPr>
                            <w:t>Associazione Sindacale professionale</w:t>
                          </w:r>
                        </w:p>
                        <w:p w:rsidR="00997DF3" w:rsidRPr="00997DF3" w:rsidRDefault="00997DF3" w:rsidP="00997DF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97DF3">
                            <w:rPr>
                              <w:sz w:val="24"/>
                              <w:szCs w:val="24"/>
                            </w:rPr>
                            <w:t>Confederati Conf.S.A.F.I.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23.45pt;margin-top:7.55pt;width:263.5pt;height:6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">
              <v:textbox>
                <w:txbxContent>
                  <w:p w:rsidR="00997DF3" w:rsidRPr="00997DF3" w:rsidRDefault="00997DF3" w:rsidP="00997DF3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U.Di.S.I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>.</w:t>
                    </w:r>
                  </w:p>
                  <w:p w:rsidR="00997DF3" w:rsidRPr="00997DF3" w:rsidRDefault="00997DF3" w:rsidP="00997DF3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Unione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Dirigenti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Scolastici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Italiani</w:t>
                    </w:r>
                    <w:proofErr w:type="spellEnd"/>
                  </w:p>
                  <w:p w:rsidR="00997DF3" w:rsidRPr="00997DF3" w:rsidRDefault="00997DF3" w:rsidP="00997DF3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Associazione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Sindacale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professionale</w:t>
                    </w:r>
                    <w:proofErr w:type="spellEnd"/>
                  </w:p>
                  <w:p w:rsidR="00997DF3" w:rsidRPr="00997DF3" w:rsidRDefault="00997DF3" w:rsidP="00997DF3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Confederati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97DF3">
                      <w:rPr>
                        <w:sz w:val="24"/>
                        <w:szCs w:val="24"/>
                      </w:rPr>
                      <w:t>Conf.S.A.F.I</w:t>
                    </w:r>
                    <w:proofErr w:type="spellEnd"/>
                    <w:r w:rsidRPr="00997DF3">
                      <w:rPr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Arial" w:hAnsi="Arial" w:cs="Arial"/>
        <w:noProof/>
        <w:lang w:val="it-IT"/>
      </w:rPr>
      <w:drawing>
        <wp:inline distT="0" distB="0" distL="0" distR="0" wp14:anchorId="5176924C" wp14:editId="4CD76040">
          <wp:extent cx="1389979" cy="927100"/>
          <wp:effectExtent l="0" t="0" r="127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962" cy="98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97DF3">
      <w:rPr>
        <w:rFonts w:ascii="Arial" w:eastAsia="Arial" w:hAnsi="Arial" w:cs="Arial"/>
      </w:rPr>
      <w:ptab w:relativeTo="margin" w:alignment="center" w:leader="none"/>
    </w:r>
    <w:r w:rsidRPr="00997DF3">
      <w:rPr>
        <w:rFonts w:ascii="Arial" w:eastAsia="Arial" w:hAnsi="Arial" w:cs="Arial"/>
      </w:rPr>
      <w:ptab w:relativeTo="margin" w:alignment="right" w:leader="none"/>
    </w:r>
    <w:r w:rsidR="002D6985">
      <w:rPr>
        <w:rFonts w:ascii="Arial" w:eastAsia="Arial" w:hAnsi="Arial" w:cs="Aria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522.8pt;height:196.05pt;rotation:315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.Di.S.I."/>
          <w10:wrap anchorx="margin" anchory="margin"/>
        </v:shape>
      </w:pict>
    </w:r>
    <w:r>
      <w:rPr>
        <w:rFonts w:ascii="Arial" w:eastAsia="Arial" w:hAnsi="Arial" w:cs="Arial"/>
        <w:noProof/>
        <w:lang w:val="it-IT"/>
      </w:rPr>
      <w:drawing>
        <wp:inline distT="0" distB="0" distL="0" distR="0" wp14:anchorId="57D49039" wp14:editId="10ADD212">
          <wp:extent cx="1377315" cy="981651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715" cy="1001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EC" w:rsidRDefault="00045E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8BE"/>
    <w:multiLevelType w:val="hybridMultilevel"/>
    <w:tmpl w:val="D70C7316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6CED"/>
    <w:multiLevelType w:val="hybridMultilevel"/>
    <w:tmpl w:val="E8DE19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EC"/>
    <w:rsid w:val="00045EEC"/>
    <w:rsid w:val="00046CC4"/>
    <w:rsid w:val="000B42DA"/>
    <w:rsid w:val="000D0012"/>
    <w:rsid w:val="001526C1"/>
    <w:rsid w:val="00153192"/>
    <w:rsid w:val="00196389"/>
    <w:rsid w:val="001A2F08"/>
    <w:rsid w:val="001C62AD"/>
    <w:rsid w:val="00220763"/>
    <w:rsid w:val="00224E59"/>
    <w:rsid w:val="00277F40"/>
    <w:rsid w:val="00296CB2"/>
    <w:rsid w:val="002D6985"/>
    <w:rsid w:val="00323684"/>
    <w:rsid w:val="003707E1"/>
    <w:rsid w:val="004466AF"/>
    <w:rsid w:val="004F1F94"/>
    <w:rsid w:val="00517CB0"/>
    <w:rsid w:val="00581712"/>
    <w:rsid w:val="005E5683"/>
    <w:rsid w:val="00602B3C"/>
    <w:rsid w:val="00620DDB"/>
    <w:rsid w:val="006338DF"/>
    <w:rsid w:val="006356FF"/>
    <w:rsid w:val="00643F4E"/>
    <w:rsid w:val="006E1AAD"/>
    <w:rsid w:val="006E69E7"/>
    <w:rsid w:val="0075489C"/>
    <w:rsid w:val="00772CE5"/>
    <w:rsid w:val="007744C7"/>
    <w:rsid w:val="007E2118"/>
    <w:rsid w:val="008215BE"/>
    <w:rsid w:val="00821E8B"/>
    <w:rsid w:val="008336A9"/>
    <w:rsid w:val="008E59F0"/>
    <w:rsid w:val="00992B3E"/>
    <w:rsid w:val="00997DF3"/>
    <w:rsid w:val="009A76D0"/>
    <w:rsid w:val="00A3533C"/>
    <w:rsid w:val="00A808B5"/>
    <w:rsid w:val="00A80C72"/>
    <w:rsid w:val="00AA5661"/>
    <w:rsid w:val="00AB043C"/>
    <w:rsid w:val="00B05BFE"/>
    <w:rsid w:val="00B145F6"/>
    <w:rsid w:val="00C241CC"/>
    <w:rsid w:val="00C26DBE"/>
    <w:rsid w:val="00C47620"/>
    <w:rsid w:val="00C73D34"/>
    <w:rsid w:val="00C82467"/>
    <w:rsid w:val="00CC4DC3"/>
    <w:rsid w:val="00CD4C60"/>
    <w:rsid w:val="00CE0CF8"/>
    <w:rsid w:val="00CF0C2E"/>
    <w:rsid w:val="00DB3A38"/>
    <w:rsid w:val="00DC4566"/>
    <w:rsid w:val="00E11322"/>
    <w:rsid w:val="00E47FA8"/>
    <w:rsid w:val="00EE057C"/>
    <w:rsid w:val="00EE1CF2"/>
    <w:rsid w:val="00F15C96"/>
    <w:rsid w:val="00F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2DE091"/>
  <w15:docId w15:val="{8A8F4FDA-8EA9-4C48-B96F-4813AE7C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4EED"/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iPriority w:val="99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Default">
    <w:name w:val="Default"/>
    <w:uiPriority w:val="99"/>
    <w:rsid w:val="00E20824"/>
    <w:pPr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bidi="hi-IN"/>
    </w:rPr>
  </w:style>
  <w:style w:type="paragraph" w:styleId="Paragrafoelenco">
    <w:name w:val="List Paragraph"/>
    <w:basedOn w:val="Predefinito"/>
    <w:uiPriority w:val="99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9A4E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4EED"/>
    <w:rPr>
      <w:rFonts w:ascii="Verdana" w:eastAsia="Verdana" w:hAnsi="Verdana" w:cs="Verdana"/>
      <w:sz w:val="22"/>
      <w:szCs w:val="22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4C8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oPgXK+6WpLPJMvYw7LQi2tMeQ==">AMUW2mXyIShdQwfiHeDljYarMGiBarZ5nqK0Yybr3dY9wFfCe8A5QnBl1RiVtABMM6qAGmmd6vTNuLXcahdP1y/VBZuYg0D9qmHqxujlXojzGrYe2G4QLts=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AC9A52-70C5-4C4C-A4E8-D992DB0C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Doriano Felletti</dc:creator>
  <cp:lastModifiedBy>Rita Guadagni</cp:lastModifiedBy>
  <cp:revision>8</cp:revision>
  <dcterms:created xsi:type="dcterms:W3CDTF">2024-01-21T20:23:00Z</dcterms:created>
  <dcterms:modified xsi:type="dcterms:W3CDTF">2024-01-21T20:33:00Z</dcterms:modified>
</cp:coreProperties>
</file>